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F" w:rsidRDefault="006C5E2F" w:rsidP="00C60600">
      <w:pPr>
        <w:rPr>
          <w:b/>
          <w:sz w:val="20"/>
          <w:szCs w:val="20"/>
        </w:rPr>
      </w:pPr>
    </w:p>
    <w:p w:rsidR="006C5E2F" w:rsidRDefault="006C5E2F" w:rsidP="00C60600">
      <w:pPr>
        <w:rPr>
          <w:b/>
          <w:sz w:val="20"/>
          <w:szCs w:val="20"/>
        </w:rPr>
      </w:pPr>
    </w:p>
    <w:p w:rsidR="006C5E2F" w:rsidRDefault="00C60600" w:rsidP="00C60600">
      <w:pPr>
        <w:rPr>
          <w:b/>
          <w:sz w:val="20"/>
          <w:szCs w:val="20"/>
        </w:rPr>
      </w:pPr>
      <w:r w:rsidRPr="009C2C17">
        <w:rPr>
          <w:b/>
          <w:sz w:val="20"/>
          <w:szCs w:val="20"/>
        </w:rPr>
        <w:t>Anlage 2</w:t>
      </w:r>
      <w:r>
        <w:rPr>
          <w:b/>
          <w:sz w:val="20"/>
          <w:szCs w:val="20"/>
        </w:rPr>
        <w:t xml:space="preserve">     </w:t>
      </w:r>
      <w:r w:rsidR="006C5E2F">
        <w:rPr>
          <w:sz w:val="20"/>
          <w:szCs w:val="20"/>
        </w:rPr>
        <w:t>Beschluss</w:t>
      </w:r>
      <w:r w:rsidRPr="009C2C17">
        <w:rPr>
          <w:sz w:val="20"/>
          <w:szCs w:val="20"/>
        </w:rPr>
        <w:t xml:space="preserve">  Ausgaben  Mitgliederversammlung </w:t>
      </w:r>
      <w:r>
        <w:rPr>
          <w:sz w:val="20"/>
          <w:szCs w:val="20"/>
        </w:rPr>
        <w:t>10.10.2016</w:t>
      </w:r>
      <w:r w:rsidRPr="009C2C17">
        <w:rPr>
          <w:sz w:val="20"/>
          <w:szCs w:val="20"/>
        </w:rPr>
        <w:t xml:space="preserve">    </w:t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  <w:t xml:space="preserve">           </w:t>
      </w:r>
      <w:r w:rsidRPr="009C2C17">
        <w:rPr>
          <w:b/>
          <w:sz w:val="20"/>
          <w:szCs w:val="20"/>
        </w:rPr>
        <w:t xml:space="preserve">Beschluss: </w:t>
      </w:r>
      <w:r w:rsidR="006C5E2F">
        <w:rPr>
          <w:b/>
          <w:sz w:val="20"/>
          <w:szCs w:val="20"/>
        </w:rPr>
        <w:t>- einstimmig -</w:t>
      </w:r>
    </w:p>
    <w:p w:rsidR="006C5E2F" w:rsidRDefault="006C5E2F" w:rsidP="00C60600">
      <w:pPr>
        <w:rPr>
          <w:b/>
          <w:sz w:val="20"/>
          <w:szCs w:val="20"/>
        </w:rPr>
      </w:pPr>
    </w:p>
    <w:p w:rsidR="006C5E2F" w:rsidRDefault="006C5E2F" w:rsidP="00C60600">
      <w:pPr>
        <w:rPr>
          <w:b/>
          <w:sz w:val="20"/>
          <w:szCs w:val="20"/>
        </w:rPr>
      </w:pPr>
    </w:p>
    <w:p w:rsidR="006C5E2F" w:rsidRPr="006C5E2F" w:rsidRDefault="006C5E2F" w:rsidP="00C60600">
      <w:pPr>
        <w:rPr>
          <w:b/>
          <w:sz w:val="20"/>
          <w:szCs w:val="20"/>
        </w:rPr>
      </w:pPr>
    </w:p>
    <w:p w:rsidR="00C60600" w:rsidRPr="009C2C17" w:rsidRDefault="00C60600" w:rsidP="00C60600">
      <w:pPr>
        <w:rPr>
          <w:sz w:val="20"/>
          <w:szCs w:val="20"/>
        </w:rPr>
      </w:pPr>
    </w:p>
    <w:tbl>
      <w:tblPr>
        <w:tblStyle w:val="Tabellenraster"/>
        <w:tblW w:w="15354" w:type="dxa"/>
        <w:tblLook w:val="04A0" w:firstRow="1" w:lastRow="0" w:firstColumn="1" w:lastColumn="0" w:noHBand="0" w:noVBand="1"/>
      </w:tblPr>
      <w:tblGrid>
        <w:gridCol w:w="1194"/>
        <w:gridCol w:w="5171"/>
        <w:gridCol w:w="1225"/>
        <w:gridCol w:w="1517"/>
        <w:gridCol w:w="1839"/>
        <w:gridCol w:w="3337"/>
        <w:gridCol w:w="1071"/>
      </w:tblGrid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9C2C17" w:rsidRDefault="00C60600" w:rsidP="00F045B9">
            <w:pPr>
              <w:snapToGrid w:val="0"/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Projekt-nummer</w:t>
            </w:r>
          </w:p>
        </w:tc>
        <w:tc>
          <w:tcPr>
            <w:tcW w:w="5171" w:type="dxa"/>
            <w:vAlign w:val="center"/>
          </w:tcPr>
          <w:p w:rsidR="00C60600" w:rsidRPr="009C2C17" w:rsidRDefault="00C60600" w:rsidP="00F045B9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Thema</w:t>
            </w:r>
          </w:p>
        </w:tc>
        <w:tc>
          <w:tcPr>
            <w:tcW w:w="1225" w:type="dxa"/>
            <w:vAlign w:val="center"/>
          </w:tcPr>
          <w:p w:rsidR="00C60600" w:rsidRPr="009C2C17" w:rsidRDefault="00C60600" w:rsidP="00F045B9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Summe</w:t>
            </w:r>
          </w:p>
        </w:tc>
        <w:tc>
          <w:tcPr>
            <w:tcW w:w="1517" w:type="dxa"/>
            <w:vAlign w:val="center"/>
          </w:tcPr>
          <w:p w:rsidR="00C60600" w:rsidRDefault="00C60600" w:rsidP="00F045B9">
            <w:pPr>
              <w:jc w:val="center"/>
              <w:rPr>
                <w:sz w:val="18"/>
                <w:szCs w:val="18"/>
              </w:rPr>
            </w:pPr>
          </w:p>
          <w:p w:rsidR="006C5E2F" w:rsidRDefault="006C5E2F" w:rsidP="00F045B9">
            <w:pPr>
              <w:jc w:val="center"/>
              <w:rPr>
                <w:sz w:val="18"/>
                <w:szCs w:val="18"/>
              </w:rPr>
            </w:pPr>
          </w:p>
          <w:p w:rsidR="006C5E2F" w:rsidRPr="009C2C17" w:rsidRDefault="006C5E2F" w:rsidP="00F045B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39" w:type="dxa"/>
            <w:vAlign w:val="center"/>
          </w:tcPr>
          <w:p w:rsidR="00C60600" w:rsidRPr="009C2C17" w:rsidRDefault="00C60600" w:rsidP="00F045B9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Antragsteller</w:t>
            </w:r>
          </w:p>
        </w:tc>
        <w:tc>
          <w:tcPr>
            <w:tcW w:w="3337" w:type="dxa"/>
            <w:vAlign w:val="center"/>
          </w:tcPr>
          <w:p w:rsidR="00C60600" w:rsidRPr="009C2C17" w:rsidRDefault="00C60600" w:rsidP="00F045B9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Bemerkungen</w:t>
            </w:r>
          </w:p>
        </w:tc>
        <w:tc>
          <w:tcPr>
            <w:tcW w:w="1071" w:type="dxa"/>
            <w:vAlign w:val="center"/>
          </w:tcPr>
          <w:p w:rsidR="00C60600" w:rsidRPr="009C2C17" w:rsidRDefault="00C60600" w:rsidP="00F045B9">
            <w:pPr>
              <w:jc w:val="center"/>
              <w:rPr>
                <w:sz w:val="20"/>
                <w:szCs w:val="20"/>
              </w:rPr>
            </w:pPr>
            <w:r w:rsidRPr="009C2C17">
              <w:rPr>
                <w:sz w:val="20"/>
                <w:szCs w:val="20"/>
              </w:rPr>
              <w:t>bestätigt</w:t>
            </w: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</w:t>
            </w:r>
            <w:r w:rsidRPr="00AE12CD">
              <w:rPr>
                <w:rFonts w:ascii="SenBJS Normal" w:hAnsi="SenBJS Normal"/>
                <w:sz w:val="20"/>
                <w:szCs w:val="20"/>
              </w:rPr>
              <w:t>001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Mitgliederversammlung  April 2017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C60600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40</w:t>
            </w:r>
            <w:r w:rsidRPr="00AE12CD">
              <w:rPr>
                <w:rFonts w:ascii="SenBJS Normal" w:hAnsi="SenBJS Normal"/>
                <w:sz w:val="20"/>
                <w:szCs w:val="20"/>
              </w:rPr>
              <w:t>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Mai 2017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</w:t>
            </w:r>
            <w:r w:rsidRPr="00AE12CD">
              <w:rPr>
                <w:rFonts w:ascii="SenBJS Normal" w:hAnsi="SenBJS Normal"/>
                <w:sz w:val="20"/>
                <w:szCs w:val="20"/>
              </w:rPr>
              <w:t>002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Weihnachten</w:t>
            </w:r>
            <w:r w:rsidRPr="00AE12CD">
              <w:rPr>
                <w:rFonts w:ascii="SenBJS Normal" w:hAnsi="SenBJS Normal"/>
                <w:sz w:val="20"/>
                <w:szCs w:val="20"/>
              </w:rPr>
              <w:t xml:space="preserve"> Stand FÖV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</w:t>
            </w:r>
            <w:r w:rsidRPr="00AE12CD">
              <w:rPr>
                <w:rFonts w:ascii="SenBJS Normal" w:hAnsi="SenBJS Normal"/>
                <w:sz w:val="20"/>
                <w:szCs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21003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T-Shirt Ergänzung Teil 2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250,00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21004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Leseprojekt</w:t>
            </w:r>
            <w:r w:rsidR="006C5E2F" w:rsidRPr="00AE12CD">
              <w:rPr>
                <w:rFonts w:ascii="SenBJS Normal" w:hAnsi="SenBJS Normal"/>
                <w:sz w:val="20"/>
                <w:szCs w:val="20"/>
              </w:rPr>
              <w:t xml:space="preserve"> </w:t>
            </w:r>
            <w:r w:rsidR="006C5E2F" w:rsidRPr="00AE12CD">
              <w:rPr>
                <w:rFonts w:ascii="SenBJS Normal" w:hAnsi="SenBJS Normal"/>
                <w:sz w:val="20"/>
                <w:szCs w:val="20"/>
              </w:rPr>
              <w:t>Bücherpreise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FK Deutsch</w:t>
            </w:r>
          </w:p>
        </w:tc>
        <w:tc>
          <w:tcPr>
            <w:tcW w:w="1839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Frau Schulze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März 2017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755685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21005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755685">
            <w:pPr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Kleinausgaben zwi</w:t>
            </w:r>
            <w:r>
              <w:rPr>
                <w:rFonts w:ascii="SenBJS Normal" w:hAnsi="SenBJS Normal"/>
                <w:sz w:val="20"/>
                <w:szCs w:val="20"/>
              </w:rPr>
              <w:t>schen den Versammlungen durch Vo</w:t>
            </w:r>
            <w:r w:rsidRPr="00AE12CD">
              <w:rPr>
                <w:rFonts w:ascii="SenBJS Normal" w:hAnsi="SenBJS Normal"/>
                <w:sz w:val="20"/>
                <w:szCs w:val="20"/>
              </w:rPr>
              <w:t>rstandsbeschluss max. 75,00 pro Beschluss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755685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3</w:t>
            </w:r>
            <w:r w:rsidRPr="00AE12CD">
              <w:rPr>
                <w:rFonts w:ascii="SenBJS Normal" w:hAnsi="SenBJS Normal"/>
                <w:sz w:val="20"/>
                <w:szCs w:val="20"/>
              </w:rPr>
              <w:t>00,00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755685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755685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755685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AE12CD">
              <w:rPr>
                <w:rFonts w:ascii="SenBJS Normal" w:hAnsi="SenBJS Normal"/>
                <w:sz w:val="20"/>
                <w:szCs w:val="20"/>
              </w:rPr>
              <w:t>Oktober 201</w:t>
            </w:r>
            <w:r>
              <w:rPr>
                <w:rFonts w:ascii="SenBJS Normal" w:hAnsi="SenBJS Normal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21006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Zuschuss Regale Mappen M5 (GEAMT 1500,00)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300,00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Frau Roatzsch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21007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Zuschuss Beschattung Raum 3a SPB  (140,00)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70,00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Elternsprecher 3a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21008</w:t>
            </w:r>
          </w:p>
        </w:tc>
        <w:tc>
          <w:tcPr>
            <w:tcW w:w="5171" w:type="dxa"/>
            <w:vAlign w:val="center"/>
          </w:tcPr>
          <w:p w:rsidR="00C60600" w:rsidRPr="00AE12CD" w:rsidRDefault="00C60600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Zuschüsse Mathematik versch. Wettbewerbe</w:t>
            </w:r>
          </w:p>
        </w:tc>
        <w:tc>
          <w:tcPr>
            <w:tcW w:w="1225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FK MA/ SL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April 2017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21009</w:t>
            </w:r>
          </w:p>
        </w:tc>
        <w:tc>
          <w:tcPr>
            <w:tcW w:w="5171" w:type="dxa"/>
            <w:vAlign w:val="center"/>
          </w:tcPr>
          <w:p w:rsidR="00C60600" w:rsidRPr="00AE12CD" w:rsidRDefault="006C5E2F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Bücher M4</w:t>
            </w:r>
          </w:p>
        </w:tc>
        <w:tc>
          <w:tcPr>
            <w:tcW w:w="1225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69,00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M4</w:t>
            </w:r>
          </w:p>
        </w:tc>
        <w:tc>
          <w:tcPr>
            <w:tcW w:w="3337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21010</w:t>
            </w:r>
          </w:p>
        </w:tc>
        <w:tc>
          <w:tcPr>
            <w:tcW w:w="5171" w:type="dxa"/>
            <w:vAlign w:val="center"/>
          </w:tcPr>
          <w:p w:rsidR="00C60600" w:rsidRPr="00AE12CD" w:rsidRDefault="006C5E2F" w:rsidP="00F045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Gesundes Frühstück Projekt Klasse 6</w:t>
            </w:r>
          </w:p>
        </w:tc>
        <w:tc>
          <w:tcPr>
            <w:tcW w:w="1225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140,00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SenBJS Normal" w:hAnsi="SenBJS Normal"/>
                <w:sz w:val="20"/>
                <w:szCs w:val="20"/>
              </w:rPr>
              <w:t>Sittner</w:t>
            </w:r>
            <w:proofErr w:type="spellEnd"/>
            <w:r>
              <w:rPr>
                <w:rFonts w:ascii="SenBJS Normal" w:hAnsi="SenBJS Normal"/>
                <w:sz w:val="20"/>
                <w:szCs w:val="20"/>
              </w:rPr>
              <w:t xml:space="preserve"> für 6a, 6b, M6</w:t>
            </w:r>
          </w:p>
        </w:tc>
        <w:tc>
          <w:tcPr>
            <w:tcW w:w="3337" w:type="dxa"/>
            <w:vAlign w:val="center"/>
          </w:tcPr>
          <w:p w:rsidR="00C60600" w:rsidRPr="00AE12CD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März 2017</w:t>
            </w:r>
          </w:p>
        </w:tc>
        <w:tc>
          <w:tcPr>
            <w:tcW w:w="1071" w:type="dxa"/>
          </w:tcPr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2748DD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21011</w:t>
            </w:r>
          </w:p>
        </w:tc>
        <w:tc>
          <w:tcPr>
            <w:tcW w:w="5171" w:type="dxa"/>
            <w:vAlign w:val="center"/>
          </w:tcPr>
          <w:p w:rsidR="00C60600" w:rsidRPr="006C5E2F" w:rsidRDefault="006C5E2F" w:rsidP="00F045B9">
            <w:pPr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Schrank SPB – Raum 3b</w:t>
            </w:r>
          </w:p>
        </w:tc>
        <w:tc>
          <w:tcPr>
            <w:tcW w:w="1225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110,00</w:t>
            </w:r>
          </w:p>
        </w:tc>
        <w:tc>
          <w:tcPr>
            <w:tcW w:w="1517" w:type="dxa"/>
            <w:vAlign w:val="center"/>
          </w:tcPr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Frau Herrmann</w:t>
            </w:r>
          </w:p>
        </w:tc>
        <w:tc>
          <w:tcPr>
            <w:tcW w:w="3337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Dezember 2016</w:t>
            </w:r>
          </w:p>
        </w:tc>
        <w:tc>
          <w:tcPr>
            <w:tcW w:w="1071" w:type="dxa"/>
          </w:tcPr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21012</w:t>
            </w:r>
          </w:p>
        </w:tc>
        <w:tc>
          <w:tcPr>
            <w:tcW w:w="5171" w:type="dxa"/>
            <w:vAlign w:val="center"/>
          </w:tcPr>
          <w:p w:rsidR="00C60600" w:rsidRPr="006C5E2F" w:rsidRDefault="006C5E2F" w:rsidP="00F045B9">
            <w:pPr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Malern Zuschuss</w:t>
            </w:r>
          </w:p>
        </w:tc>
        <w:tc>
          <w:tcPr>
            <w:tcW w:w="1225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C60600" w:rsidRPr="006C5E2F" w:rsidRDefault="006C5E2F" w:rsidP="00F045B9">
            <w:pPr>
              <w:jc w:val="right"/>
              <w:rPr>
                <w:sz w:val="20"/>
                <w:szCs w:val="20"/>
              </w:rPr>
            </w:pPr>
            <w:r w:rsidRPr="006C5E2F">
              <w:rPr>
                <w:sz w:val="20"/>
                <w:szCs w:val="20"/>
              </w:rPr>
              <w:t>Juli 2017</w:t>
            </w:r>
          </w:p>
        </w:tc>
        <w:tc>
          <w:tcPr>
            <w:tcW w:w="1071" w:type="dxa"/>
          </w:tcPr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C60600" w:rsidP="00F045B9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21013</w:t>
            </w:r>
          </w:p>
        </w:tc>
        <w:tc>
          <w:tcPr>
            <w:tcW w:w="5171" w:type="dxa"/>
            <w:vAlign w:val="center"/>
          </w:tcPr>
          <w:p w:rsidR="00C60600" w:rsidRPr="006C5E2F" w:rsidRDefault="006C5E2F" w:rsidP="00F045B9">
            <w:pPr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Ergänzung 19009 Projekt Banner usw.</w:t>
            </w:r>
          </w:p>
        </w:tc>
        <w:tc>
          <w:tcPr>
            <w:tcW w:w="1225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6C5E2F" w:rsidRDefault="006C5E2F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 w:rsidRPr="006C5E2F">
              <w:rPr>
                <w:rFonts w:ascii="SenBJS Normal" w:hAnsi="SenBJS Normal"/>
                <w:sz w:val="20"/>
                <w:szCs w:val="20"/>
              </w:rPr>
              <w:t xml:space="preserve">Herr </w:t>
            </w:r>
            <w:proofErr w:type="spellStart"/>
            <w:r w:rsidRPr="006C5E2F">
              <w:rPr>
                <w:rFonts w:ascii="SenBJS Normal" w:hAnsi="SenBJS Normal"/>
                <w:sz w:val="20"/>
                <w:szCs w:val="20"/>
              </w:rPr>
              <w:t>Haubert</w:t>
            </w:r>
            <w:proofErr w:type="spellEnd"/>
          </w:p>
        </w:tc>
        <w:tc>
          <w:tcPr>
            <w:tcW w:w="3337" w:type="dxa"/>
            <w:vAlign w:val="center"/>
          </w:tcPr>
          <w:p w:rsidR="00C60600" w:rsidRPr="006C5E2F" w:rsidRDefault="006C5E2F" w:rsidP="00F045B9">
            <w:pPr>
              <w:jc w:val="right"/>
              <w:rPr>
                <w:sz w:val="20"/>
                <w:szCs w:val="20"/>
              </w:rPr>
            </w:pPr>
            <w:r w:rsidRPr="006C5E2F">
              <w:rPr>
                <w:sz w:val="20"/>
                <w:szCs w:val="20"/>
              </w:rPr>
              <w:t>Juli 2017</w:t>
            </w:r>
          </w:p>
        </w:tc>
        <w:tc>
          <w:tcPr>
            <w:tcW w:w="1071" w:type="dxa"/>
          </w:tcPr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  <w:p w:rsidR="00C60600" w:rsidRPr="006C5E2F" w:rsidRDefault="00C60600" w:rsidP="00F045B9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</w:tr>
    </w:tbl>
    <w:p w:rsidR="00C60600" w:rsidRDefault="00C60600" w:rsidP="00C60600"/>
    <w:p w:rsidR="00901857" w:rsidRDefault="00901857"/>
    <w:sectPr w:rsidR="00901857" w:rsidSect="00C60600">
      <w:pgSz w:w="16840" w:h="11900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0"/>
    <w:rsid w:val="006C5E2F"/>
    <w:rsid w:val="00901857"/>
    <w:rsid w:val="00C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00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600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00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600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424D3-8E2F-F34D-BBA5-807E57E1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2</cp:revision>
  <cp:lastPrinted>2016-10-11T18:41:00Z</cp:lastPrinted>
  <dcterms:created xsi:type="dcterms:W3CDTF">2016-10-11T18:41:00Z</dcterms:created>
  <dcterms:modified xsi:type="dcterms:W3CDTF">2016-10-11T18:41:00Z</dcterms:modified>
</cp:coreProperties>
</file>